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C27" w:rsidRPr="005E14C8" w:rsidRDefault="000F2C27" w:rsidP="005E14C8">
      <w:pPr>
        <w:spacing w:after="0" w:line="240" w:lineRule="auto"/>
        <w:jc w:val="right"/>
        <w:outlineLvl w:val="0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5E14C8">
        <w:rPr>
          <w:rFonts w:ascii="Times New Roman" w:hAnsi="Times New Roman" w:cs="Times New Roman"/>
          <w:kern w:val="36"/>
          <w:sz w:val="24"/>
          <w:szCs w:val="24"/>
          <w:lang w:eastAsia="ru-RU"/>
        </w:rPr>
        <w:t>Приложение №2 МСП Банк</w:t>
      </w:r>
    </w:p>
    <w:p w:rsidR="000F2C27" w:rsidRDefault="000F2C27" w:rsidP="00BB7AE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BB7AEE">
        <w:rPr>
          <w:rFonts w:ascii="Times New Roman" w:hAnsi="Times New Roman" w:cs="Times New Roman"/>
          <w:b/>
          <w:bCs/>
          <w:kern w:val="36"/>
          <w:sz w:val="32"/>
          <w:szCs w:val="32"/>
          <w:lang w:eastAsia="ru-RU"/>
        </w:rPr>
        <w:t>МСП – Дуэт</w:t>
      </w:r>
    </w:p>
    <w:p w:rsidR="000F2C27" w:rsidRPr="00BB7AEE" w:rsidRDefault="000F2C27" w:rsidP="00BB7AE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10"/>
          <w:szCs w:val="10"/>
          <w:lang w:eastAsia="ru-RU"/>
        </w:rPr>
      </w:pPr>
    </w:p>
    <w:p w:rsidR="000F2C27" w:rsidRPr="00BB7AEE" w:rsidRDefault="000F2C27" w:rsidP="00BB7AEE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BB7AEE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Полные условия кредитования</w:t>
        </w:r>
      </w:hyperlink>
    </w:p>
    <w:p w:rsidR="000F2C27" w:rsidRPr="00BB7AEE" w:rsidRDefault="000F2C27" w:rsidP="00BB7A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B7AEE">
        <w:rPr>
          <w:rFonts w:ascii="Times New Roman" w:hAnsi="Times New Roman" w:cs="Times New Roman"/>
          <w:sz w:val="24"/>
          <w:szCs w:val="24"/>
          <w:lang w:eastAsia="ru-RU"/>
        </w:rPr>
        <w:t>Осуществление поддержки Субъектов МСП в период влияния неблагоприятной внешнеэкономической и внешнеполитической конъюнктуры, создание возможностей для привлечения Субъектами МСП оборотных и инвестиционных ресурсов в целях завершения начатых Субъектами МСП проектов до 01 января 2016 года</w:t>
      </w:r>
    </w:p>
    <w:tbl>
      <w:tblPr>
        <w:tblW w:w="5613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1935"/>
        <w:gridCol w:w="4313"/>
        <w:gridCol w:w="4759"/>
      </w:tblGrid>
      <w:tr w:rsidR="000F2C27" w:rsidRPr="00322304">
        <w:trPr>
          <w:tblHeader/>
        </w:trPr>
        <w:tc>
          <w:tcPr>
            <w:tcW w:w="879" w:type="pct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0F2C27" w:rsidRPr="00BB7AEE" w:rsidRDefault="000F2C27" w:rsidP="00BB7A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7A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9" w:type="pct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0F2C27" w:rsidRPr="00BB7AEE" w:rsidRDefault="000F2C27" w:rsidP="00BB7A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7A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Партнеру</w:t>
            </w:r>
          </w:p>
        </w:tc>
        <w:tc>
          <w:tcPr>
            <w:tcW w:w="2162" w:type="pct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 w:rsidR="000F2C27" w:rsidRPr="00BB7AEE" w:rsidRDefault="000F2C27" w:rsidP="00BB7A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7A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МСП</w:t>
            </w:r>
          </w:p>
        </w:tc>
      </w:tr>
      <w:tr w:rsidR="000F2C27" w:rsidRPr="00322304">
        <w:tc>
          <w:tcPr>
            <w:tcW w:w="879" w:type="pc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0F2C27" w:rsidRPr="00BB7AEE" w:rsidRDefault="000F2C27" w:rsidP="00BB7A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BB7A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Поддержки</w:t>
            </w:r>
          </w:p>
        </w:tc>
        <w:tc>
          <w:tcPr>
            <w:tcW w:w="4121" w:type="pct"/>
            <w:gridSpan w:val="2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0F2C27" w:rsidRPr="00BB7AEE" w:rsidRDefault="000F2C27" w:rsidP="00BB7AEE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7A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Реструктуризация / погашение обязательств Субъектов МСП по ранее полученному кредиту</w:t>
            </w:r>
          </w:p>
          <w:p w:rsidR="000F2C27" w:rsidRPr="00BB7AEE" w:rsidRDefault="000F2C27" w:rsidP="00BB7AEE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7A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Кредитование субъекта МСП для исполнения им обязательств по возмещению выплаченных банком сумм по ранее открытым по поручению Субъекта МСП аккредитивам</w:t>
            </w:r>
          </w:p>
          <w:p w:rsidR="000F2C27" w:rsidRPr="00BB7AEE" w:rsidRDefault="000F2C27" w:rsidP="00BB7AEE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7A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финансирование проекта Субъекта МСП, связанное с реализацией ранее начатого проекта</w:t>
            </w:r>
          </w:p>
        </w:tc>
      </w:tr>
      <w:tr w:rsidR="000F2C27" w:rsidRPr="00322304">
        <w:trPr>
          <w:trHeight w:val="540"/>
        </w:trPr>
        <w:tc>
          <w:tcPr>
            <w:tcW w:w="879" w:type="pc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0F2C27" w:rsidRPr="00BB7AEE" w:rsidRDefault="000F2C27" w:rsidP="00BB7A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BB7A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Выдачи</w:t>
            </w:r>
          </w:p>
        </w:tc>
        <w:tc>
          <w:tcPr>
            <w:tcW w:w="1959" w:type="pc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0F2C27" w:rsidRPr="00BB7AEE" w:rsidRDefault="000F2C27" w:rsidP="00BB7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7A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Кредитная линия</w:t>
            </w:r>
            <w:r w:rsidRPr="00BB7A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с лимитом выдачи</w:t>
            </w:r>
          </w:p>
        </w:tc>
        <w:tc>
          <w:tcPr>
            <w:tcW w:w="2162" w:type="pc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0F2C27" w:rsidRPr="00BB7AEE" w:rsidRDefault="000F2C27" w:rsidP="00BB7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7A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Кредит/кредитная линия</w:t>
            </w:r>
            <w:r w:rsidRPr="00BB7A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с лимитом выдачи</w:t>
            </w:r>
          </w:p>
        </w:tc>
      </w:tr>
      <w:tr w:rsidR="000F2C27" w:rsidRPr="00322304">
        <w:trPr>
          <w:trHeight w:val="2226"/>
        </w:trPr>
        <w:tc>
          <w:tcPr>
            <w:tcW w:w="879" w:type="pc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0F2C27" w:rsidRPr="00BB7AEE" w:rsidRDefault="000F2C27" w:rsidP="00BB7A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BB7A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1959" w:type="pc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0F2C27" w:rsidRPr="00BB7AEE" w:rsidRDefault="000F2C27" w:rsidP="00BB7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7A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 2 до 7 лет</w:t>
            </w:r>
          </w:p>
          <w:p w:rsidR="000F2C27" w:rsidRPr="00BB7AEE" w:rsidRDefault="000F2C27" w:rsidP="00BB7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7AEE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Средства предоставляются в течение 90 дней с даты заключения кредитного договора; кредиты субъектам МСП необходимо предоставить в течение 30 дней с даты получения средств от АО «МСП Банк»</w:t>
            </w:r>
          </w:p>
        </w:tc>
        <w:tc>
          <w:tcPr>
            <w:tcW w:w="2162" w:type="pc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0F2C27" w:rsidRPr="00BB7AEE" w:rsidRDefault="000F2C27" w:rsidP="00BB7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7A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 1 до 7 лет</w:t>
            </w:r>
          </w:p>
        </w:tc>
      </w:tr>
      <w:tr w:rsidR="000F2C27" w:rsidRPr="00322304">
        <w:trPr>
          <w:trHeight w:val="263"/>
        </w:trPr>
        <w:tc>
          <w:tcPr>
            <w:tcW w:w="879" w:type="pc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0F2C27" w:rsidRPr="00BB7AEE" w:rsidRDefault="000F2C27" w:rsidP="00BB7A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BB7A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1959" w:type="pc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0F2C27" w:rsidRPr="00BB7AEE" w:rsidRDefault="000F2C27" w:rsidP="00BB7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7A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62" w:type="pc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0F2C27" w:rsidRPr="00BB7AEE" w:rsidRDefault="000F2C27" w:rsidP="00BB7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7A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более 150 млн руб.</w:t>
            </w:r>
          </w:p>
        </w:tc>
      </w:tr>
      <w:tr w:rsidR="000F2C27" w:rsidRPr="00322304">
        <w:tc>
          <w:tcPr>
            <w:tcW w:w="879" w:type="pc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0F2C27" w:rsidRPr="00BB7AEE" w:rsidRDefault="000F2C27" w:rsidP="00BB7A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BB7A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Ставка</w:t>
            </w:r>
          </w:p>
        </w:tc>
        <w:tc>
          <w:tcPr>
            <w:tcW w:w="1959" w:type="pc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0F2C27" w:rsidRPr="00BB7AEE" w:rsidRDefault="000F2C27" w:rsidP="00BB7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7A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9,0%</w:t>
            </w:r>
            <w:hyperlink r:id="rId6" w:anchor="111" w:tooltip="Может быть увеличена до 10,75% годовых (в зависимости от внутреннего рейтинга банка-партнера, рассчитанного в соответствии с действующей методикой МСП Банка), в таком случае процентная ставка субъекта МСП будет увеличена соответственно." w:history="1">
              <w:r w:rsidRPr="00BB7AEE">
                <w:rPr>
                  <w:rFonts w:ascii="Times New Roman" w:hAnsi="Times New Roman" w:cs="Times New Roman"/>
                  <w:sz w:val="24"/>
                  <w:szCs w:val="24"/>
                  <w:u w:val="single"/>
                  <w:vertAlign w:val="superscript"/>
                  <w:lang w:eastAsia="ru-RU"/>
                </w:rPr>
                <w:t>*</w:t>
              </w:r>
            </w:hyperlink>
            <w:r w:rsidRPr="00BB7A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годовых</w:t>
            </w:r>
            <w:r w:rsidRPr="00BB7A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B7A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8,5% годовых</w:t>
            </w:r>
            <w:r w:rsidRPr="00BB7A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в случае одновременного использования </w:t>
            </w:r>
            <w:hyperlink r:id="rId7" w:tgtFrame="_blank" w:history="1">
              <w:r w:rsidRPr="00BB7AEE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инструмента гарантийной поддержки, реализуемого АО «МСП Банк» для субъектов малого и среднего предпринимательства в рамках Национальной гарантийной системы</w:t>
              </w:r>
            </w:hyperlink>
            <w:r w:rsidRPr="00BB7A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</w:tc>
        <w:tc>
          <w:tcPr>
            <w:tcW w:w="2162" w:type="pc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0F2C27" w:rsidRPr="00BB7AEE" w:rsidRDefault="000F2C27" w:rsidP="00BB7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7A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более ставки кредитования партнера, увеличенной:</w:t>
            </w:r>
          </w:p>
          <w:p w:rsidR="000F2C27" w:rsidRPr="00BB7AEE" w:rsidRDefault="000F2C27" w:rsidP="00BB7AEE">
            <w:pPr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7A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 </w:t>
            </w:r>
            <w:r w:rsidRPr="00BB7A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4,9 процентных пунктов</w:t>
            </w:r>
            <w:r w:rsidRPr="00BB7A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если сумма кредита составляет менее </w:t>
            </w:r>
            <w:r w:rsidRPr="00BB7A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50 млн руб.</w:t>
            </w:r>
          </w:p>
          <w:p w:rsidR="000F2C27" w:rsidRPr="00BB7AEE" w:rsidRDefault="000F2C27" w:rsidP="00BB7AEE">
            <w:pPr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7A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 </w:t>
            </w:r>
            <w:r w:rsidRPr="00BB7A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 процентных пункта</w:t>
            </w:r>
            <w:r w:rsidRPr="00BB7A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если сумма кредита составляет более </w:t>
            </w:r>
            <w:r w:rsidRPr="00BB7A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50 млн руб.</w:t>
            </w:r>
            <w:r w:rsidRPr="00BB7A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срок – до 3 лет</w:t>
            </w:r>
          </w:p>
          <w:p w:rsidR="000F2C27" w:rsidRPr="00BB7AEE" w:rsidRDefault="000F2C27" w:rsidP="00BB7AEE">
            <w:pPr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7A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 </w:t>
            </w:r>
            <w:r w:rsidRPr="00BB7A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4,9 процентных пунктов</w:t>
            </w:r>
            <w:r w:rsidRPr="00BB7A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если сумма кредита составляет более </w:t>
            </w:r>
            <w:r w:rsidRPr="00BB7A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50 млн руб.</w:t>
            </w:r>
            <w:r w:rsidRPr="00BB7A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срок – </w:t>
            </w:r>
            <w:bookmarkStart w:id="0" w:name="_GoBack"/>
            <w:bookmarkEnd w:id="0"/>
            <w:r w:rsidRPr="00BB7A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3 лет</w:t>
            </w:r>
          </w:p>
        </w:tc>
      </w:tr>
      <w:tr w:rsidR="000F2C27" w:rsidRPr="00322304">
        <w:tc>
          <w:tcPr>
            <w:tcW w:w="879" w:type="pc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0F2C27" w:rsidRPr="00BB7AEE" w:rsidRDefault="000F2C27" w:rsidP="00BB7A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BB7A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</w:t>
            </w:r>
          </w:p>
        </w:tc>
        <w:tc>
          <w:tcPr>
            <w:tcW w:w="1959" w:type="pc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0F2C27" w:rsidRPr="00BB7AEE" w:rsidRDefault="000F2C27" w:rsidP="00BB7AEE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7A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Залог прав (требований) по кредитам, выданным субъектам МСП за счет средств АО «МСП Банк»</w:t>
            </w:r>
          </w:p>
          <w:p w:rsidR="000F2C27" w:rsidRPr="00BB7AEE" w:rsidRDefault="000F2C27" w:rsidP="00BB7AEE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7A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Соглашение об условиях уступки прав по кредитам</w:t>
            </w:r>
            <w:bookmarkStart w:id="1" w:name="Заключается_по_решению_Уполномоченных_ор"/>
            <w:r w:rsidRPr="00BB7A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B7A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instrText xml:space="preserve"> HYPERLINK "https://www.mspbank.ru/Partneram/bankovskie_produktyi/kreditnyie_produktyi/duet" \l "333" \o "Заключается по решению Уполномоченных органов Банка" </w:instrText>
            </w:r>
            <w:r w:rsidRPr="00096B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 w:rsidRPr="00BB7A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B7AEE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  <w:lang w:eastAsia="ru-RU"/>
              </w:rPr>
              <w:t>***</w:t>
            </w:r>
            <w:r w:rsidRPr="00BB7A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bookmarkEnd w:id="1"/>
          </w:p>
        </w:tc>
        <w:tc>
          <w:tcPr>
            <w:tcW w:w="2162" w:type="pc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:rsidR="000F2C27" w:rsidRPr="00BB7AEE" w:rsidRDefault="000F2C27" w:rsidP="00BB7AEE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7A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Ликвидное движимое и недвижимое имущество</w:t>
            </w:r>
          </w:p>
          <w:p w:rsidR="000F2C27" w:rsidRPr="00BB7AEE" w:rsidRDefault="000F2C27" w:rsidP="00BB7AEE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7A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Банковская гарантия и поручительство третьих лиц</w:t>
            </w:r>
          </w:p>
          <w:p w:rsidR="000F2C27" w:rsidRPr="00BB7AEE" w:rsidRDefault="000F2C27" w:rsidP="00BB7AEE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7A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менее 75% от суммы основного долга</w:t>
            </w:r>
          </w:p>
        </w:tc>
      </w:tr>
    </w:tbl>
    <w:p w:rsidR="000F2C27" w:rsidRPr="00BB7AEE" w:rsidRDefault="000F2C27" w:rsidP="00BB7AE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bookmarkStart w:id="2" w:name="BM111"/>
      <w:bookmarkEnd w:id="2"/>
      <w:r w:rsidRPr="00BB7AE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* Может быть увеличена до 11,5% годовых и до 7,0% (в зависимости от внутреннего рейтинга банка-партнера, рассчитанного в соответствии с действующей методикой МСП Банка), в таком случае процентная ставка субъекта МСП будет увеличена соответственно;</w:t>
      </w:r>
    </w:p>
    <w:p w:rsidR="000F2C27" w:rsidRPr="00BB7AEE" w:rsidRDefault="000F2C27" w:rsidP="00BB7AE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bookmarkStart w:id="3" w:name="BM222"/>
      <w:bookmarkEnd w:id="3"/>
      <w:r w:rsidRPr="00BB7AE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** </w:t>
      </w:r>
      <w:r w:rsidRPr="00BB7AEE">
        <w:rPr>
          <w:rFonts w:ascii="Times New Roman" w:hAnsi="Times New Roman" w:cs="Times New Roman"/>
          <w:sz w:val="24"/>
          <w:szCs w:val="24"/>
          <w:lang w:eastAsia="ru-RU"/>
        </w:rPr>
        <w:t>Целевой сегмент – резиденты индустриальных (техно) парков</w:t>
      </w:r>
    </w:p>
    <w:p w:rsidR="000F2C27" w:rsidRPr="00BB7AEE" w:rsidRDefault="000F2C27" w:rsidP="00BB7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" w:name="BM333"/>
      <w:bookmarkEnd w:id="4"/>
      <w:r w:rsidRPr="00BB7AE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*** Заключается по решению Уполномоченных органов Банка.</w:t>
      </w:r>
    </w:p>
    <w:sectPr w:rsidR="000F2C27" w:rsidRPr="00BB7AEE" w:rsidSect="005E14C8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F1CF6"/>
    <w:multiLevelType w:val="multilevel"/>
    <w:tmpl w:val="73949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A96518B"/>
    <w:multiLevelType w:val="multilevel"/>
    <w:tmpl w:val="2EC80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5B034DB5"/>
    <w:multiLevelType w:val="multilevel"/>
    <w:tmpl w:val="B4C6A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5F07675F"/>
    <w:multiLevelType w:val="multilevel"/>
    <w:tmpl w:val="FF3C2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797C4FA5"/>
    <w:multiLevelType w:val="multilevel"/>
    <w:tmpl w:val="40A8E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7AEE"/>
    <w:rsid w:val="00096BA4"/>
    <w:rsid w:val="000F2C27"/>
    <w:rsid w:val="00322304"/>
    <w:rsid w:val="005C683B"/>
    <w:rsid w:val="005E14C8"/>
    <w:rsid w:val="009A7340"/>
    <w:rsid w:val="00BB7AEE"/>
    <w:rsid w:val="00BF5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16D"/>
    <w:pPr>
      <w:spacing w:after="160" w:line="259" w:lineRule="auto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BB7AEE"/>
    <w:pPr>
      <w:spacing w:before="150" w:after="150" w:line="240" w:lineRule="auto"/>
      <w:outlineLvl w:val="0"/>
    </w:pPr>
    <w:rPr>
      <w:rFonts w:ascii="Times New Roman" w:eastAsia="Times New Roman" w:hAnsi="Times New Roman" w:cs="Times New Roman"/>
      <w:b/>
      <w:bCs/>
      <w:color w:val="F7921D"/>
      <w:kern w:val="36"/>
      <w:sz w:val="51"/>
      <w:szCs w:val="51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B7AEE"/>
    <w:rPr>
      <w:rFonts w:ascii="Times New Roman" w:hAnsi="Times New Roman" w:cs="Times New Roman"/>
      <w:b/>
      <w:bCs/>
      <w:color w:val="F7921D"/>
      <w:kern w:val="36"/>
      <w:sz w:val="51"/>
      <w:szCs w:val="51"/>
      <w:lang w:eastAsia="ru-RU"/>
    </w:rPr>
  </w:style>
  <w:style w:type="character" w:styleId="Hyperlink">
    <w:name w:val="Hyperlink"/>
    <w:basedOn w:val="DefaultParagraphFont"/>
    <w:uiPriority w:val="99"/>
    <w:semiHidden/>
    <w:rsid w:val="00BB7AEE"/>
    <w:rPr>
      <w:color w:val="0185D0"/>
      <w:u w:val="single"/>
    </w:rPr>
  </w:style>
  <w:style w:type="character" w:styleId="Emphasis">
    <w:name w:val="Emphasis"/>
    <w:basedOn w:val="DefaultParagraphFont"/>
    <w:uiPriority w:val="99"/>
    <w:qFormat/>
    <w:rsid w:val="00BB7AEE"/>
    <w:rPr>
      <w:i/>
      <w:iCs/>
    </w:rPr>
  </w:style>
  <w:style w:type="character" w:styleId="Strong">
    <w:name w:val="Strong"/>
    <w:basedOn w:val="DefaultParagraphFont"/>
    <w:uiPriority w:val="99"/>
    <w:qFormat/>
    <w:rsid w:val="00BB7AEE"/>
    <w:rPr>
      <w:b/>
      <w:bCs/>
    </w:rPr>
  </w:style>
  <w:style w:type="paragraph" w:styleId="NormalWeb">
    <w:name w:val="Normal (Web)"/>
    <w:basedOn w:val="Normal"/>
    <w:uiPriority w:val="99"/>
    <w:semiHidden/>
    <w:rsid w:val="00BB7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97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7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7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97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97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97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970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15" w:color="0185D0"/>
                                <w:left w:val="single" w:sz="18" w:space="23" w:color="0185D0"/>
                                <w:bottom w:val="single" w:sz="18" w:space="23" w:color="0185D0"/>
                                <w:right w:val="single" w:sz="18" w:space="23" w:color="0185D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spbank.ru/Predprinimatelyam/Garantiynaya_podderzhka_ot_NG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spbank.ru/Partneram/bankovskie_produktyi/kreditnyie_produktyi/duet" TargetMode="External"/><Relationship Id="rId5" Type="http://schemas.openxmlformats.org/officeDocument/2006/relationships/hyperlink" Target="https://www.mspbank.ru/Partneram/bankovskie_produktyi/kreditnyie_produktyi/duet/polnyie_usloviya_du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445</Words>
  <Characters>2539</Characters>
  <Application>Microsoft Office Outlook</Application>
  <DocSecurity>0</DocSecurity>
  <Lines>0</Lines>
  <Paragraphs>0</Paragraphs>
  <ScaleCrop>false</ScaleCrop>
  <Company>Органы государственной власти Краснодарского края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 МСП Банк</dc:title>
  <dc:subject/>
  <dc:creator>Головкова Мария Васильевна</dc:creator>
  <cp:keywords/>
  <dc:description/>
  <cp:lastModifiedBy>Admin</cp:lastModifiedBy>
  <cp:revision>2</cp:revision>
  <dcterms:created xsi:type="dcterms:W3CDTF">2016-08-05T08:46:00Z</dcterms:created>
  <dcterms:modified xsi:type="dcterms:W3CDTF">2016-08-05T08:46:00Z</dcterms:modified>
</cp:coreProperties>
</file>