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CB" w:rsidRPr="00AC6ECB" w:rsidRDefault="00AC6ECB" w:rsidP="00AC6ECB">
      <w:pPr>
        <w:rPr>
          <w:sz w:val="28"/>
          <w:szCs w:val="28"/>
        </w:rPr>
      </w:pPr>
      <w:r w:rsidRPr="00AC6ECB">
        <w:rPr>
          <w:b/>
          <w:bCs/>
          <w:sz w:val="28"/>
          <w:szCs w:val="28"/>
        </w:rPr>
        <w:t>Уведомления об исчисленных суммах. Что нужно знать?</w:t>
      </w:r>
    </w:p>
    <w:tbl>
      <w:tblPr>
        <w:tblW w:w="94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51"/>
        <w:gridCol w:w="5569"/>
      </w:tblGrid>
      <w:tr w:rsidR="00AC6ECB" w:rsidRPr="00AC6ECB" w:rsidTr="00AC6ECB">
        <w:trPr>
          <w:trHeight w:val="2555"/>
        </w:trPr>
        <w:tc>
          <w:tcPr>
            <w:tcW w:w="3851" w:type="dxa"/>
            <w:tcBorders>
              <w:top w:val="single" w:sz="4" w:space="0" w:color="595959"/>
              <w:left w:val="nil"/>
              <w:bottom w:val="single" w:sz="8" w:space="0" w:color="BFBFBF"/>
              <w:right w:val="nil"/>
            </w:tcBorders>
            <w:shd w:val="clear" w:color="auto" w:fill="auto"/>
            <w:tcMar>
              <w:top w:w="227" w:type="dxa"/>
              <w:left w:w="113" w:type="dxa"/>
              <w:bottom w:w="170" w:type="dxa"/>
              <w:right w:w="144" w:type="dxa"/>
            </w:tcMar>
            <w:hideMark/>
          </w:tcPr>
          <w:p w:rsidR="00AC6ECB" w:rsidRPr="00AC6ECB" w:rsidRDefault="00AC6ECB" w:rsidP="00AC6EC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C6ECB">
              <w:rPr>
                <w:rFonts w:ascii="Times New Roman" w:eastAsia="Calibri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 xml:space="preserve">31 декабря 2023 </w:t>
            </w:r>
            <w:r w:rsidRPr="00AC6ECB">
              <w:rPr>
                <w:rFonts w:ascii="Times New Roman" w:eastAsia="Calibri" w:hAnsi="Times New Roman" w:cs="Times New Roman"/>
                <w:b/>
                <w:bCs/>
                <w:color w:val="000000" w:themeColor="text1" w:themeShade="80"/>
                <w:kern w:val="24"/>
                <w:sz w:val="24"/>
                <w:szCs w:val="24"/>
                <w:lang w:eastAsia="ru-RU"/>
              </w:rPr>
              <w:t>заканчивается переходный период, связанный с внедрением ЕНС</w:t>
            </w:r>
          </w:p>
        </w:tc>
        <w:tc>
          <w:tcPr>
            <w:tcW w:w="5569" w:type="dxa"/>
            <w:tcBorders>
              <w:top w:val="single" w:sz="4" w:space="0" w:color="595959"/>
              <w:left w:val="nil"/>
              <w:bottom w:val="single" w:sz="8" w:space="0" w:color="BFBFBF"/>
              <w:right w:val="nil"/>
            </w:tcBorders>
            <w:shd w:val="clear" w:color="auto" w:fill="auto"/>
            <w:tcMar>
              <w:top w:w="227" w:type="dxa"/>
              <w:left w:w="144" w:type="dxa"/>
              <w:bottom w:w="170" w:type="dxa"/>
              <w:right w:w="144" w:type="dxa"/>
            </w:tcMar>
            <w:hideMark/>
          </w:tcPr>
          <w:p w:rsidR="00AC6ECB" w:rsidRPr="00AC6ECB" w:rsidRDefault="00AC6ECB" w:rsidP="00AC6ECB">
            <w:pPr>
              <w:numPr>
                <w:ilvl w:val="0"/>
                <w:numId w:val="1"/>
              </w:numPr>
              <w:spacing w:after="0" w:line="240" w:lineRule="auto"/>
              <w:ind w:left="994"/>
              <w:contextualSpacing/>
              <w:rPr>
                <w:rFonts w:ascii="Arial" w:eastAsia="Times New Roman" w:hAnsi="Arial" w:cs="Arial"/>
                <w:color w:val="C00000"/>
                <w:sz w:val="24"/>
                <w:szCs w:val="36"/>
                <w:lang w:eastAsia="ru-RU"/>
              </w:rPr>
            </w:pPr>
            <w:r w:rsidRPr="00AC6ECB">
              <w:rPr>
                <w:rFonts w:ascii="Times New Roman" w:eastAsia="Calibri" w:hAnsi="Times New Roman"/>
                <w:color w:val="000000" w:themeColor="text1" w:themeShade="80"/>
                <w:kern w:val="24"/>
                <w:sz w:val="24"/>
                <w:szCs w:val="24"/>
                <w:lang w:eastAsia="ru-RU"/>
              </w:rPr>
              <w:t>уплата авансовых платежей, вместо подачи уведомлений</w:t>
            </w:r>
          </w:p>
          <w:p w:rsidR="00AC6ECB" w:rsidRPr="00AC6ECB" w:rsidRDefault="00AC6ECB" w:rsidP="00AC6EC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C6ECB">
              <w:rPr>
                <w:rFonts w:eastAsiaTheme="minorEastAsia" w:hAnsi="Golos Tex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>п</w:t>
            </w:r>
            <w:r w:rsidRPr="00AC6ECB">
              <w:rPr>
                <w:rFonts w:eastAsiaTheme="minorEastAsia" w:hAnsi="Golos Tex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 xml:space="preserve">. 12 </w:t>
            </w:r>
            <w:r w:rsidRPr="00AC6ECB">
              <w:rPr>
                <w:rFonts w:eastAsiaTheme="minorEastAsia" w:hAnsi="Golos Tex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>ст</w:t>
            </w:r>
            <w:r w:rsidRPr="00AC6ECB">
              <w:rPr>
                <w:rFonts w:eastAsiaTheme="minorEastAsia" w:hAnsi="Golos Tex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 xml:space="preserve">. 4 </w:t>
            </w:r>
            <w:r w:rsidRPr="00AC6ECB">
              <w:rPr>
                <w:rFonts w:eastAsiaTheme="minorEastAsia" w:hAnsi="Golos Tex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>Федерального</w:t>
            </w:r>
            <w:r w:rsidRPr="00AC6ECB">
              <w:rPr>
                <w:rFonts w:eastAsiaTheme="minorEastAsia" w:hAnsi="Golos Tex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 xml:space="preserve"> </w:t>
            </w:r>
            <w:r w:rsidRPr="00AC6ECB">
              <w:rPr>
                <w:rFonts w:eastAsiaTheme="minorEastAsia" w:hAnsi="Golos Tex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>закона</w:t>
            </w:r>
            <w:r w:rsidRPr="00AC6ECB">
              <w:rPr>
                <w:rFonts w:eastAsiaTheme="minorEastAsia" w:hAnsi="Golos Tex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 xml:space="preserve"> </w:t>
            </w:r>
            <w:r w:rsidRPr="00AC6ECB">
              <w:rPr>
                <w:rFonts w:eastAsiaTheme="minorEastAsia" w:hAnsi="Golos Tex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>от</w:t>
            </w:r>
            <w:r w:rsidRPr="00AC6ECB">
              <w:rPr>
                <w:rFonts w:eastAsiaTheme="minorEastAsia" w:hAnsi="Golos Tex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 xml:space="preserve"> 14.07.2022 </w:t>
            </w:r>
            <w:r w:rsidRPr="00AC6ECB">
              <w:rPr>
                <w:rFonts w:eastAsiaTheme="minorEastAsia" w:hAnsi="Golos Tex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>№</w:t>
            </w:r>
            <w:r w:rsidRPr="00AC6ECB">
              <w:rPr>
                <w:rFonts w:eastAsiaTheme="minorEastAsia" w:hAnsi="Golos Tex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 xml:space="preserve"> 263-</w:t>
            </w:r>
            <w:r w:rsidRPr="00AC6ECB">
              <w:rPr>
                <w:rFonts w:eastAsiaTheme="minorEastAsia" w:hAnsi="Golos Tex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>ФЗ</w:t>
            </w:r>
          </w:p>
          <w:p w:rsidR="00AC6ECB" w:rsidRPr="00AC6ECB" w:rsidRDefault="00AC6ECB" w:rsidP="00AC6ECB">
            <w:pPr>
              <w:numPr>
                <w:ilvl w:val="0"/>
                <w:numId w:val="2"/>
              </w:numPr>
              <w:tabs>
                <w:tab w:val="left" w:pos="7670"/>
                <w:tab w:val="left" w:pos="10804"/>
                <w:tab w:val="left" w:pos="12106"/>
              </w:tabs>
              <w:spacing w:after="0" w:line="240" w:lineRule="auto"/>
              <w:ind w:left="994"/>
              <w:contextualSpacing/>
              <w:rPr>
                <w:rFonts w:ascii="Arial" w:eastAsia="Times New Roman" w:hAnsi="Arial" w:cs="Arial"/>
                <w:color w:val="C00000"/>
                <w:sz w:val="24"/>
                <w:szCs w:val="36"/>
                <w:lang w:eastAsia="ru-RU"/>
              </w:rPr>
            </w:pPr>
            <w:r w:rsidRPr="00AC6ECB">
              <w:rPr>
                <w:rFonts w:ascii="Times New Roman" w:eastAsia="Calibri" w:hAnsi="Times New Roman"/>
                <w:color w:val="000000" w:themeColor="text1" w:themeShade="80"/>
                <w:kern w:val="24"/>
                <w:sz w:val="24"/>
                <w:szCs w:val="24"/>
                <w:lang w:eastAsia="ru-RU"/>
              </w:rPr>
              <w:t xml:space="preserve">пени за ошибки в уведомлениях не </w:t>
            </w:r>
            <w:proofErr w:type="gramStart"/>
            <w:r w:rsidRPr="00AC6ECB">
              <w:rPr>
                <w:rFonts w:ascii="Times New Roman" w:eastAsia="Calibri" w:hAnsi="Times New Roman"/>
                <w:color w:val="000000" w:themeColor="text1" w:themeShade="80"/>
                <w:kern w:val="24"/>
                <w:sz w:val="24"/>
                <w:szCs w:val="24"/>
                <w:lang w:eastAsia="ru-RU"/>
              </w:rPr>
              <w:t>начисляются</w:t>
            </w:r>
            <w:proofErr w:type="gramEnd"/>
            <w:r w:rsidRPr="00AC6ECB">
              <w:rPr>
                <w:rFonts w:ascii="Times New Roman" w:eastAsia="Calibri" w:hAnsi="Times New Roman"/>
                <w:color w:val="000000" w:themeColor="text1" w:themeShade="80"/>
                <w:kern w:val="24"/>
                <w:sz w:val="24"/>
                <w:szCs w:val="24"/>
                <w:lang w:eastAsia="ru-RU"/>
              </w:rPr>
              <w:t xml:space="preserve"> если на ЕНС достаточно средств для погашения обязанности по уплате налогов. </w:t>
            </w:r>
          </w:p>
          <w:p w:rsidR="00AC6ECB" w:rsidRPr="00AC6ECB" w:rsidRDefault="00AC6ECB" w:rsidP="00AC6ECB">
            <w:pPr>
              <w:spacing w:after="12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C6ECB">
              <w:rPr>
                <w:rFonts w:eastAsiaTheme="minorEastAsia" w:hAnsi="Golos Tex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>Постановление</w:t>
            </w:r>
            <w:r w:rsidRPr="00AC6ECB">
              <w:rPr>
                <w:rFonts w:eastAsiaTheme="minorEastAsia" w:hAnsi="Golos Tex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 xml:space="preserve"> </w:t>
            </w:r>
            <w:r w:rsidRPr="00AC6ECB">
              <w:rPr>
                <w:rFonts w:eastAsiaTheme="minorEastAsia" w:hAnsi="Golos Tex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>Правительства</w:t>
            </w:r>
            <w:r w:rsidRPr="00AC6ECB">
              <w:rPr>
                <w:rFonts w:eastAsiaTheme="minorEastAsia" w:hAnsi="Golos Tex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 xml:space="preserve"> </w:t>
            </w:r>
            <w:r w:rsidRPr="00AC6ECB">
              <w:rPr>
                <w:rFonts w:eastAsiaTheme="minorEastAsia" w:hAnsi="Golos Tex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>Российской</w:t>
            </w:r>
            <w:r w:rsidRPr="00AC6ECB">
              <w:rPr>
                <w:rFonts w:eastAsiaTheme="minorEastAsia" w:hAnsi="Golos Tex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 xml:space="preserve"> </w:t>
            </w:r>
            <w:r w:rsidRPr="00AC6ECB">
              <w:rPr>
                <w:rFonts w:eastAsiaTheme="minorEastAsia" w:hAnsi="Golos Tex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>Федерации</w:t>
            </w:r>
            <w:r w:rsidRPr="00AC6ECB">
              <w:rPr>
                <w:rFonts w:eastAsiaTheme="minorEastAsia" w:hAnsi="Golos Tex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 xml:space="preserve"> </w:t>
            </w:r>
            <w:r w:rsidRPr="00AC6ECB">
              <w:rPr>
                <w:rFonts w:eastAsiaTheme="minorEastAsia" w:hAnsi="Golos Tex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>от</w:t>
            </w:r>
            <w:r w:rsidRPr="00AC6ECB">
              <w:rPr>
                <w:rFonts w:eastAsiaTheme="minorEastAsia" w:hAnsi="Golos Tex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 xml:space="preserve"> 29.03.2023 </w:t>
            </w:r>
            <w:r w:rsidRPr="00AC6ECB">
              <w:rPr>
                <w:rFonts w:eastAsiaTheme="minorEastAsia" w:hAnsi="Golos Tex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>№</w:t>
            </w:r>
            <w:r w:rsidRPr="00AC6ECB">
              <w:rPr>
                <w:rFonts w:eastAsiaTheme="minorEastAsia" w:hAnsi="Golos Text"/>
                <w:color w:val="808080" w:themeColor="background1" w:themeShade="80"/>
                <w:kern w:val="24"/>
                <w:sz w:val="20"/>
                <w:szCs w:val="20"/>
                <w:lang w:eastAsia="ru-RU"/>
              </w:rPr>
              <w:t xml:space="preserve"> 500 </w:t>
            </w:r>
          </w:p>
        </w:tc>
      </w:tr>
      <w:tr w:rsidR="00AC6ECB" w:rsidRPr="00AC6ECB" w:rsidTr="00AC6ECB">
        <w:trPr>
          <w:trHeight w:val="1157"/>
        </w:trPr>
        <w:tc>
          <w:tcPr>
            <w:tcW w:w="3851" w:type="dxa"/>
            <w:tcBorders>
              <w:top w:val="single" w:sz="8" w:space="0" w:color="BFBFBF"/>
              <w:left w:val="nil"/>
              <w:bottom w:val="single" w:sz="4" w:space="0" w:color="D9D9D9"/>
              <w:right w:val="nil"/>
            </w:tcBorders>
            <w:shd w:val="clear" w:color="auto" w:fill="auto"/>
            <w:tcMar>
              <w:top w:w="227" w:type="dxa"/>
              <w:left w:w="113" w:type="dxa"/>
              <w:bottom w:w="170" w:type="dxa"/>
              <w:right w:w="144" w:type="dxa"/>
            </w:tcMar>
            <w:hideMark/>
          </w:tcPr>
          <w:p w:rsidR="00AC6ECB" w:rsidRPr="00AC6ECB" w:rsidRDefault="00AC6ECB" w:rsidP="00AC6EC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C6ECB">
              <w:rPr>
                <w:rFonts w:ascii="Times New Roman" w:eastAsia="Calibri" w:hAnsi="Times New Roman" w:cs="Times New Roman"/>
                <w:b/>
                <w:bCs/>
                <w:color w:val="00B0F0"/>
                <w:kern w:val="24"/>
                <w:sz w:val="24"/>
                <w:szCs w:val="24"/>
                <w:lang w:eastAsia="ru-RU"/>
              </w:rPr>
              <w:t xml:space="preserve">С 1 января 2024 года </w:t>
            </w:r>
            <w:r w:rsidRPr="00AC6ECB">
              <w:rPr>
                <w:rFonts w:ascii="Times New Roman" w:eastAsia="Calibri" w:hAnsi="Times New Roman" w:cs="Times New Roman"/>
                <w:b/>
                <w:bCs/>
                <w:color w:val="000000" w:themeColor="text1" w:themeShade="80"/>
                <w:kern w:val="24"/>
                <w:sz w:val="24"/>
                <w:szCs w:val="24"/>
                <w:lang w:eastAsia="ru-RU"/>
              </w:rPr>
              <w:t xml:space="preserve">можно представлять </w:t>
            </w:r>
            <w:r w:rsidRPr="00AC6ECB">
              <w:rPr>
                <w:rFonts w:ascii="Times New Roman" w:eastAsia="Calibri" w:hAnsi="Times New Roman" w:cs="Times New Roman"/>
                <w:b/>
                <w:bCs/>
                <w:color w:val="00B0F0"/>
                <w:kern w:val="24"/>
                <w:sz w:val="24"/>
                <w:szCs w:val="24"/>
                <w:lang w:eastAsia="ru-RU"/>
              </w:rPr>
              <w:t xml:space="preserve">ТОЛЬКО </w:t>
            </w:r>
            <w:r w:rsidRPr="00AC6ECB">
              <w:rPr>
                <w:rFonts w:ascii="Times New Roman" w:eastAsia="Calibri" w:hAnsi="Times New Roman" w:cs="Times New Roman"/>
                <w:b/>
                <w:bCs/>
                <w:color w:val="000000" w:themeColor="text1" w:themeShade="80"/>
                <w:kern w:val="24"/>
                <w:sz w:val="24"/>
                <w:szCs w:val="24"/>
                <w:lang w:eastAsia="ru-RU"/>
              </w:rPr>
              <w:t>уведомление об исчисленных налогах</w:t>
            </w:r>
          </w:p>
        </w:tc>
        <w:tc>
          <w:tcPr>
            <w:tcW w:w="5569" w:type="dxa"/>
            <w:tcBorders>
              <w:top w:val="single" w:sz="8" w:space="0" w:color="BFBFBF"/>
              <w:left w:val="nil"/>
              <w:bottom w:val="single" w:sz="4" w:space="0" w:color="D9D9D9"/>
              <w:right w:val="nil"/>
            </w:tcBorders>
            <w:shd w:val="clear" w:color="auto" w:fill="auto"/>
            <w:tcMar>
              <w:top w:w="227" w:type="dxa"/>
              <w:left w:w="144" w:type="dxa"/>
              <w:bottom w:w="170" w:type="dxa"/>
              <w:right w:w="144" w:type="dxa"/>
            </w:tcMar>
            <w:hideMark/>
          </w:tcPr>
          <w:p w:rsidR="00AC6ECB" w:rsidRPr="00AC6ECB" w:rsidRDefault="00AC6ECB" w:rsidP="00AC6ECB">
            <w:pPr>
              <w:numPr>
                <w:ilvl w:val="0"/>
                <w:numId w:val="3"/>
              </w:numPr>
              <w:spacing w:after="120" w:line="240" w:lineRule="auto"/>
              <w:ind w:left="994"/>
              <w:contextualSpacing/>
              <w:rPr>
                <w:rFonts w:ascii="Arial" w:eastAsia="Times New Roman" w:hAnsi="Arial" w:cs="Arial"/>
                <w:color w:val="00B0F0"/>
                <w:sz w:val="17"/>
                <w:szCs w:val="36"/>
                <w:lang w:eastAsia="ru-RU"/>
              </w:rPr>
            </w:pPr>
            <w:r w:rsidRPr="00AC6ECB">
              <w:rPr>
                <w:rFonts w:ascii="Times New Roman" w:eastAsia="Calibri" w:hAnsi="Times New Roman"/>
                <w:color w:val="000000" w:themeColor="text1" w:themeShade="80"/>
                <w:kern w:val="24"/>
                <w:sz w:val="24"/>
                <w:szCs w:val="24"/>
                <w:lang w:eastAsia="ru-RU"/>
              </w:rPr>
              <w:t xml:space="preserve">Уведомление подается по форме, утверждённой приказом ФНС России от 02.11.2022 № </w:t>
            </w:r>
            <w:proofErr w:type="gramStart"/>
            <w:r w:rsidRPr="00AC6ECB">
              <w:rPr>
                <w:rFonts w:ascii="Times New Roman" w:eastAsia="Calibri" w:hAnsi="Times New Roman"/>
                <w:color w:val="000000" w:themeColor="text1" w:themeShade="80"/>
                <w:kern w:val="24"/>
                <w:sz w:val="24"/>
                <w:szCs w:val="24"/>
                <w:lang w:eastAsia="ru-RU"/>
              </w:rPr>
              <w:t>ЕД</w:t>
            </w:r>
            <w:proofErr w:type="gramEnd"/>
            <w:r w:rsidRPr="00AC6ECB">
              <w:rPr>
                <w:rFonts w:ascii="Times New Roman" w:eastAsia="Calibri" w:hAnsi="Times New Roman"/>
                <w:color w:val="000000" w:themeColor="text1" w:themeShade="80"/>
                <w:kern w:val="24"/>
                <w:sz w:val="24"/>
                <w:szCs w:val="24"/>
                <w:lang w:eastAsia="ru-RU"/>
              </w:rPr>
              <w:t xml:space="preserve"> -7-8-/1047@</w:t>
            </w:r>
          </w:p>
          <w:p w:rsidR="00AC6ECB" w:rsidRPr="00AC6ECB" w:rsidRDefault="00AC6ECB" w:rsidP="00AC6ECB">
            <w:pPr>
              <w:numPr>
                <w:ilvl w:val="0"/>
                <w:numId w:val="3"/>
              </w:numPr>
              <w:spacing w:after="120" w:line="240" w:lineRule="auto"/>
              <w:ind w:left="994"/>
              <w:contextualSpacing/>
              <w:rPr>
                <w:rFonts w:ascii="Arial" w:eastAsia="Times New Roman" w:hAnsi="Arial" w:cs="Arial"/>
                <w:color w:val="00B0F0"/>
                <w:sz w:val="17"/>
                <w:szCs w:val="36"/>
                <w:lang w:eastAsia="ru-RU"/>
              </w:rPr>
            </w:pPr>
            <w:r w:rsidRPr="00AC6ECB">
              <w:rPr>
                <w:rFonts w:ascii="Times New Roman" w:eastAsia="Calibri" w:hAnsi="Times New Roman"/>
                <w:color w:val="000000" w:themeColor="text1" w:themeShade="80"/>
                <w:kern w:val="24"/>
                <w:sz w:val="24"/>
                <w:szCs w:val="24"/>
                <w:lang w:eastAsia="ru-RU"/>
              </w:rPr>
              <w:t>Достаточно одного уведомления по всем авансам, причем, можно оформить одно уведомление сразу на несколько периодов.</w:t>
            </w:r>
          </w:p>
          <w:p w:rsidR="00AC6ECB" w:rsidRPr="00AC6ECB" w:rsidRDefault="00AC6ECB" w:rsidP="00AC6ECB">
            <w:pPr>
              <w:numPr>
                <w:ilvl w:val="0"/>
                <w:numId w:val="3"/>
              </w:numPr>
              <w:spacing w:after="120" w:line="240" w:lineRule="auto"/>
              <w:ind w:left="994"/>
              <w:contextualSpacing/>
              <w:rPr>
                <w:rFonts w:ascii="Arial" w:eastAsia="Times New Roman" w:hAnsi="Arial" w:cs="Arial"/>
                <w:color w:val="00B0F0"/>
                <w:sz w:val="17"/>
                <w:szCs w:val="36"/>
                <w:lang w:eastAsia="ru-RU"/>
              </w:rPr>
            </w:pPr>
            <w:r w:rsidRPr="00AC6ECB">
              <w:rPr>
                <w:rFonts w:ascii="Times New Roman" w:eastAsia="Calibri" w:hAnsi="Times New Roman"/>
                <w:color w:val="000000" w:themeColor="text1" w:themeShade="80"/>
                <w:kern w:val="24"/>
                <w:sz w:val="24"/>
                <w:szCs w:val="24"/>
                <w:lang w:eastAsia="ru-RU"/>
              </w:rPr>
              <w:t>Для исключения ошибок, введены контрольные соотношения</w:t>
            </w:r>
          </w:p>
          <w:p w:rsidR="00AC6ECB" w:rsidRPr="00AC6ECB" w:rsidRDefault="00AC6ECB" w:rsidP="00AC6ECB">
            <w:pPr>
              <w:numPr>
                <w:ilvl w:val="0"/>
                <w:numId w:val="3"/>
              </w:numPr>
              <w:spacing w:after="120" w:line="240" w:lineRule="auto"/>
              <w:ind w:left="994"/>
              <w:contextualSpacing/>
              <w:rPr>
                <w:rFonts w:ascii="Arial" w:eastAsia="Times New Roman" w:hAnsi="Arial" w:cs="Arial"/>
                <w:color w:val="00B0F0"/>
                <w:sz w:val="17"/>
                <w:szCs w:val="36"/>
                <w:lang w:eastAsia="ru-RU"/>
              </w:rPr>
            </w:pPr>
            <w:proofErr w:type="spellStart"/>
            <w:r w:rsidRPr="00AC6ECB">
              <w:rPr>
                <w:rFonts w:ascii="Times New Roman" w:eastAsia="Calibri" w:hAnsi="Times New Roman"/>
                <w:color w:val="000000" w:themeColor="text1" w:themeShade="80"/>
                <w:kern w:val="24"/>
                <w:sz w:val="24"/>
                <w:szCs w:val="24"/>
                <w:lang w:eastAsia="ru-RU"/>
              </w:rPr>
              <w:t>Автозаполнение</w:t>
            </w:r>
            <w:proofErr w:type="spellEnd"/>
            <w:r w:rsidRPr="00AC6ECB">
              <w:rPr>
                <w:rFonts w:ascii="Times New Roman" w:eastAsia="Calibri" w:hAnsi="Times New Roman"/>
                <w:color w:val="000000" w:themeColor="text1" w:themeShade="80"/>
                <w:kern w:val="24"/>
                <w:sz w:val="24"/>
                <w:szCs w:val="24"/>
                <w:lang w:eastAsia="ru-RU"/>
              </w:rPr>
              <w:t xml:space="preserve"> в учетных (бухгалтерских) системах и Личном кабинете</w:t>
            </w:r>
          </w:p>
          <w:p w:rsidR="00AC6ECB" w:rsidRPr="00AC6ECB" w:rsidRDefault="00AC6ECB" w:rsidP="00AC6ECB">
            <w:pPr>
              <w:numPr>
                <w:ilvl w:val="0"/>
                <w:numId w:val="3"/>
              </w:numPr>
              <w:spacing w:after="120" w:line="240" w:lineRule="auto"/>
              <w:ind w:left="994"/>
              <w:contextualSpacing/>
              <w:rPr>
                <w:rFonts w:ascii="Arial" w:eastAsia="Times New Roman" w:hAnsi="Arial" w:cs="Arial"/>
                <w:color w:val="00B0F0"/>
                <w:sz w:val="17"/>
                <w:szCs w:val="36"/>
                <w:lang w:eastAsia="ru-RU"/>
              </w:rPr>
            </w:pPr>
            <w:r w:rsidRPr="00AC6ECB">
              <w:rPr>
                <w:rFonts w:ascii="Times New Roman" w:eastAsia="Calibri" w:hAnsi="Times New Roman"/>
                <w:color w:val="000000" w:themeColor="text1" w:themeShade="80"/>
                <w:kern w:val="24"/>
                <w:sz w:val="24"/>
                <w:szCs w:val="24"/>
                <w:lang w:eastAsia="ru-RU"/>
              </w:rPr>
              <w:t>Для ИП предусмотрено использование неквалифицированной электронной подписи, при отправке из Личного кабинета</w:t>
            </w:r>
          </w:p>
        </w:tc>
      </w:tr>
      <w:tr w:rsidR="00AC6ECB" w:rsidRPr="00AC6ECB" w:rsidTr="00AC6ECB">
        <w:trPr>
          <w:trHeight w:val="2423"/>
        </w:trPr>
        <w:tc>
          <w:tcPr>
            <w:tcW w:w="3851" w:type="dxa"/>
            <w:tcBorders>
              <w:top w:val="single" w:sz="4" w:space="0" w:color="D9D9D9"/>
              <w:left w:val="nil"/>
              <w:bottom w:val="single" w:sz="8" w:space="0" w:color="BFBFBF"/>
              <w:right w:val="nil"/>
            </w:tcBorders>
            <w:shd w:val="clear" w:color="auto" w:fill="auto"/>
            <w:tcMar>
              <w:top w:w="227" w:type="dxa"/>
              <w:left w:w="113" w:type="dxa"/>
              <w:bottom w:w="170" w:type="dxa"/>
              <w:right w:w="144" w:type="dxa"/>
            </w:tcMar>
            <w:hideMark/>
          </w:tcPr>
          <w:p w:rsidR="00AC6ECB" w:rsidRPr="00AC6ECB" w:rsidRDefault="00AC6ECB" w:rsidP="00AC6EC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C6ECB">
              <w:rPr>
                <w:rFonts w:ascii="Times New Roman" w:eastAsia="Calibri" w:hAnsi="Times New Roman"/>
                <w:b/>
                <w:bCs/>
                <w:color w:val="000000" w:themeColor="text1" w:themeShade="80"/>
                <w:kern w:val="24"/>
                <w:sz w:val="24"/>
                <w:szCs w:val="24"/>
                <w:lang w:eastAsia="ru-RU"/>
              </w:rPr>
              <w:t>По каким налогам представлять Уведомление?</w:t>
            </w:r>
          </w:p>
        </w:tc>
        <w:tc>
          <w:tcPr>
            <w:tcW w:w="5569" w:type="dxa"/>
            <w:tcBorders>
              <w:top w:val="single" w:sz="4" w:space="0" w:color="D9D9D9"/>
              <w:left w:val="nil"/>
              <w:bottom w:val="single" w:sz="8" w:space="0" w:color="BFBFBF"/>
              <w:right w:val="nil"/>
            </w:tcBorders>
            <w:shd w:val="clear" w:color="auto" w:fill="auto"/>
            <w:tcMar>
              <w:top w:w="227" w:type="dxa"/>
              <w:left w:w="144" w:type="dxa"/>
              <w:bottom w:w="170" w:type="dxa"/>
              <w:right w:w="144" w:type="dxa"/>
            </w:tcMar>
            <w:hideMark/>
          </w:tcPr>
          <w:p w:rsidR="00AC6ECB" w:rsidRPr="00AC6ECB" w:rsidRDefault="00AC6ECB" w:rsidP="00AC6ECB">
            <w:pPr>
              <w:spacing w:after="12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C6ECB">
              <w:rPr>
                <w:rFonts w:ascii="Times New Roman" w:eastAsia="Calibri" w:hAnsi="Times New Roman"/>
                <w:color w:val="000000" w:themeColor="text1" w:themeShade="80"/>
                <w:kern w:val="24"/>
                <w:sz w:val="24"/>
                <w:szCs w:val="24"/>
                <w:lang w:eastAsia="ru-RU"/>
              </w:rPr>
              <w:t>Юридические лица и индивидуальные предприниматели подают уведомление:</w:t>
            </w:r>
          </w:p>
          <w:p w:rsidR="00AC6ECB" w:rsidRPr="00AC6ECB" w:rsidRDefault="00AC6ECB" w:rsidP="00AC6ECB">
            <w:pPr>
              <w:numPr>
                <w:ilvl w:val="0"/>
                <w:numId w:val="4"/>
              </w:numPr>
              <w:spacing w:after="120" w:line="240" w:lineRule="auto"/>
              <w:ind w:left="994"/>
              <w:contextualSpacing/>
              <w:rPr>
                <w:rFonts w:ascii="Arial" w:eastAsia="Times New Roman" w:hAnsi="Arial" w:cs="Arial"/>
                <w:color w:val="00B0F0"/>
                <w:sz w:val="17"/>
                <w:szCs w:val="36"/>
                <w:lang w:eastAsia="ru-RU"/>
              </w:rPr>
            </w:pPr>
            <w:r w:rsidRPr="00AC6ECB">
              <w:rPr>
                <w:rFonts w:ascii="Times New Roman" w:eastAsia="Calibri" w:hAnsi="Times New Roman"/>
                <w:color w:val="000000" w:themeColor="text1" w:themeShade="80"/>
                <w:kern w:val="24"/>
                <w:sz w:val="24"/>
                <w:szCs w:val="24"/>
                <w:lang w:eastAsia="ru-RU"/>
              </w:rPr>
              <w:t>по НДФЛ</w:t>
            </w:r>
          </w:p>
          <w:p w:rsidR="00AC6ECB" w:rsidRPr="00AC6ECB" w:rsidRDefault="00AC6ECB" w:rsidP="00AC6ECB">
            <w:pPr>
              <w:numPr>
                <w:ilvl w:val="0"/>
                <w:numId w:val="4"/>
              </w:numPr>
              <w:spacing w:after="120" w:line="240" w:lineRule="auto"/>
              <w:ind w:left="994"/>
              <w:contextualSpacing/>
              <w:rPr>
                <w:rFonts w:ascii="Arial" w:eastAsia="Times New Roman" w:hAnsi="Arial" w:cs="Arial"/>
                <w:color w:val="00B0F0"/>
                <w:sz w:val="17"/>
                <w:szCs w:val="36"/>
                <w:lang w:eastAsia="ru-RU"/>
              </w:rPr>
            </w:pPr>
            <w:r w:rsidRPr="00AC6ECB">
              <w:rPr>
                <w:rFonts w:ascii="Times New Roman" w:eastAsia="Calibri" w:hAnsi="Times New Roman"/>
                <w:color w:val="000000" w:themeColor="text1" w:themeShade="80"/>
                <w:kern w:val="24"/>
                <w:sz w:val="24"/>
                <w:szCs w:val="24"/>
                <w:lang w:eastAsia="ru-RU"/>
              </w:rPr>
              <w:t>страховым взносам</w:t>
            </w:r>
          </w:p>
          <w:p w:rsidR="00AC6ECB" w:rsidRPr="00AC6ECB" w:rsidRDefault="00AC6ECB" w:rsidP="00AC6ECB">
            <w:pPr>
              <w:numPr>
                <w:ilvl w:val="0"/>
                <w:numId w:val="4"/>
              </w:numPr>
              <w:spacing w:after="120" w:line="240" w:lineRule="auto"/>
              <w:ind w:left="994"/>
              <w:contextualSpacing/>
              <w:rPr>
                <w:rFonts w:ascii="Arial" w:eastAsia="Times New Roman" w:hAnsi="Arial" w:cs="Arial"/>
                <w:color w:val="00B0F0"/>
                <w:sz w:val="17"/>
                <w:szCs w:val="36"/>
                <w:lang w:eastAsia="ru-RU"/>
              </w:rPr>
            </w:pPr>
            <w:r w:rsidRPr="00AC6ECB">
              <w:rPr>
                <w:rFonts w:ascii="Times New Roman" w:eastAsia="Calibri" w:hAnsi="Times New Roman"/>
                <w:color w:val="000000" w:themeColor="text1" w:themeShade="80"/>
                <w:kern w:val="24"/>
                <w:sz w:val="24"/>
                <w:szCs w:val="24"/>
                <w:lang w:eastAsia="ru-RU"/>
              </w:rPr>
              <w:t xml:space="preserve">имущественным налогам </w:t>
            </w:r>
            <w:proofErr w:type="spellStart"/>
            <w:r w:rsidRPr="00AC6ECB">
              <w:rPr>
                <w:rFonts w:ascii="Times New Roman" w:eastAsia="Calibri" w:hAnsi="Times New Roman"/>
                <w:color w:val="000000" w:themeColor="text1" w:themeShade="80"/>
                <w:kern w:val="24"/>
                <w:sz w:val="24"/>
                <w:szCs w:val="24"/>
                <w:lang w:eastAsia="ru-RU"/>
              </w:rPr>
              <w:t>юрлиц</w:t>
            </w:r>
            <w:proofErr w:type="spellEnd"/>
          </w:p>
          <w:p w:rsidR="00AC6ECB" w:rsidRPr="00AC6ECB" w:rsidRDefault="00AC6ECB" w:rsidP="00AC6ECB">
            <w:pPr>
              <w:numPr>
                <w:ilvl w:val="0"/>
                <w:numId w:val="4"/>
              </w:numPr>
              <w:spacing w:after="120" w:line="240" w:lineRule="auto"/>
              <w:ind w:left="994"/>
              <w:contextualSpacing/>
              <w:rPr>
                <w:rFonts w:ascii="Arial" w:eastAsia="Times New Roman" w:hAnsi="Arial" w:cs="Arial"/>
                <w:color w:val="00B0F0"/>
                <w:sz w:val="17"/>
                <w:szCs w:val="36"/>
                <w:lang w:eastAsia="ru-RU"/>
              </w:rPr>
            </w:pPr>
            <w:r w:rsidRPr="00AC6ECB">
              <w:rPr>
                <w:rFonts w:ascii="Times New Roman" w:eastAsia="Calibri" w:hAnsi="Times New Roman"/>
                <w:color w:val="000000" w:themeColor="text1" w:themeShade="80"/>
                <w:kern w:val="24"/>
                <w:sz w:val="24"/>
                <w:szCs w:val="24"/>
                <w:lang w:eastAsia="ru-RU"/>
              </w:rPr>
              <w:t>упрощённой системе налогообложения</w:t>
            </w:r>
          </w:p>
          <w:p w:rsidR="00AC6ECB" w:rsidRPr="00AC6ECB" w:rsidRDefault="00AC6ECB" w:rsidP="00AC6ECB">
            <w:pPr>
              <w:numPr>
                <w:ilvl w:val="0"/>
                <w:numId w:val="4"/>
              </w:numPr>
              <w:spacing w:after="120" w:line="240" w:lineRule="auto"/>
              <w:ind w:left="994"/>
              <w:contextualSpacing/>
              <w:rPr>
                <w:rFonts w:ascii="Arial" w:eastAsia="Times New Roman" w:hAnsi="Arial" w:cs="Arial"/>
                <w:color w:val="00B0F0"/>
                <w:sz w:val="17"/>
                <w:szCs w:val="36"/>
                <w:lang w:eastAsia="ru-RU"/>
              </w:rPr>
            </w:pPr>
            <w:r w:rsidRPr="00AC6ECB">
              <w:rPr>
                <w:rFonts w:ascii="Times New Roman" w:eastAsia="Calibri" w:hAnsi="Times New Roman"/>
                <w:color w:val="000000" w:themeColor="text1" w:themeShade="80"/>
                <w:kern w:val="24"/>
                <w:sz w:val="24"/>
                <w:szCs w:val="24"/>
                <w:lang w:eastAsia="ru-RU"/>
              </w:rPr>
              <w:t>ЕСХН</w:t>
            </w:r>
          </w:p>
        </w:tc>
      </w:tr>
      <w:tr w:rsidR="00AC6ECB" w:rsidRPr="00AC6ECB" w:rsidTr="00AC6ECB">
        <w:trPr>
          <w:trHeight w:val="2423"/>
        </w:trPr>
        <w:tc>
          <w:tcPr>
            <w:tcW w:w="3851" w:type="dxa"/>
            <w:tcBorders>
              <w:top w:val="single" w:sz="4" w:space="0" w:color="D9D9D9"/>
              <w:left w:val="nil"/>
              <w:bottom w:val="single" w:sz="8" w:space="0" w:color="BFBFBF"/>
              <w:right w:val="nil"/>
            </w:tcBorders>
            <w:shd w:val="clear" w:color="auto" w:fill="auto"/>
            <w:tcMar>
              <w:top w:w="227" w:type="dxa"/>
              <w:left w:w="113" w:type="dxa"/>
              <w:bottom w:w="170" w:type="dxa"/>
              <w:right w:w="144" w:type="dxa"/>
            </w:tcMar>
            <w:hideMark/>
          </w:tcPr>
          <w:p w:rsidR="00AC6ECB" w:rsidRPr="00AC6ECB" w:rsidRDefault="00AC6ECB" w:rsidP="00AC6EC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 w:themeColor="text1" w:themeShade="80"/>
                <w:kern w:val="24"/>
                <w:sz w:val="24"/>
                <w:szCs w:val="24"/>
                <w:lang w:eastAsia="ru-RU"/>
              </w:rPr>
            </w:pPr>
            <w:r w:rsidRPr="00AC6ECB">
              <w:rPr>
                <w:rFonts w:ascii="Times New Roman" w:eastAsia="Calibri" w:hAnsi="Times New Roman"/>
                <w:b/>
                <w:bCs/>
                <w:color w:val="000000" w:themeColor="text1" w:themeShade="80"/>
                <w:kern w:val="24"/>
                <w:sz w:val="24"/>
                <w:szCs w:val="24"/>
                <w:lang w:eastAsia="ru-RU"/>
              </w:rPr>
              <w:t>В какие сроки подавать уведомление?</w:t>
            </w:r>
          </w:p>
        </w:tc>
        <w:tc>
          <w:tcPr>
            <w:tcW w:w="5569" w:type="dxa"/>
            <w:tcBorders>
              <w:top w:val="single" w:sz="4" w:space="0" w:color="D9D9D9"/>
              <w:left w:val="nil"/>
              <w:bottom w:val="single" w:sz="8" w:space="0" w:color="BFBFBF"/>
              <w:right w:val="nil"/>
            </w:tcBorders>
            <w:shd w:val="clear" w:color="auto" w:fill="auto"/>
            <w:tcMar>
              <w:top w:w="227" w:type="dxa"/>
              <w:left w:w="144" w:type="dxa"/>
              <w:bottom w:w="170" w:type="dxa"/>
              <w:right w:w="144" w:type="dxa"/>
            </w:tcMar>
            <w:hideMark/>
          </w:tcPr>
          <w:p w:rsidR="00AC6ECB" w:rsidRPr="00AC6ECB" w:rsidRDefault="00AC6ECB" w:rsidP="00AC6ECB">
            <w:pPr>
              <w:numPr>
                <w:ilvl w:val="0"/>
                <w:numId w:val="5"/>
              </w:numPr>
              <w:spacing w:after="120" w:line="240" w:lineRule="auto"/>
              <w:ind w:left="994"/>
              <w:contextualSpacing/>
              <w:rPr>
                <w:rFonts w:ascii="Times New Roman" w:eastAsia="Calibri" w:hAnsi="Times New Roman"/>
                <w:color w:val="000000" w:themeColor="text1" w:themeShade="80"/>
                <w:kern w:val="24"/>
                <w:sz w:val="24"/>
                <w:szCs w:val="24"/>
                <w:lang w:eastAsia="ru-RU"/>
              </w:rPr>
            </w:pPr>
            <w:r w:rsidRPr="00AC6ECB">
              <w:rPr>
                <w:rFonts w:ascii="Times New Roman" w:eastAsia="Calibri" w:hAnsi="Times New Roman"/>
                <w:color w:val="000000" w:themeColor="text1" w:themeShade="80"/>
                <w:kern w:val="24"/>
                <w:sz w:val="24"/>
                <w:szCs w:val="24"/>
                <w:lang w:eastAsia="ru-RU"/>
              </w:rPr>
              <w:t>не позднее 25 числа месяца, в котором установлен срок уплаты</w:t>
            </w:r>
          </w:p>
          <w:p w:rsidR="00AC6ECB" w:rsidRPr="00AC6ECB" w:rsidRDefault="00AC6ECB" w:rsidP="00AC6ECB">
            <w:pPr>
              <w:spacing w:after="120" w:line="240" w:lineRule="auto"/>
              <w:rPr>
                <w:rFonts w:ascii="Times New Roman" w:eastAsia="Calibri" w:hAnsi="Times New Roman"/>
                <w:color w:val="000000" w:themeColor="text1" w:themeShade="80"/>
                <w:kern w:val="24"/>
                <w:sz w:val="24"/>
                <w:szCs w:val="24"/>
                <w:lang w:eastAsia="ru-RU"/>
              </w:rPr>
            </w:pPr>
            <w:r w:rsidRPr="00AC6ECB">
              <w:rPr>
                <w:rFonts w:ascii="Times New Roman" w:eastAsia="Calibri" w:hAnsi="Times New Roman"/>
                <w:color w:val="000000" w:themeColor="text1" w:themeShade="80"/>
                <w:kern w:val="24"/>
                <w:sz w:val="24"/>
                <w:szCs w:val="24"/>
                <w:lang w:eastAsia="ru-RU"/>
              </w:rPr>
              <w:t>В декабре 2023 уведомление по НДФЛ представляется дважды:</w:t>
            </w:r>
          </w:p>
          <w:p w:rsidR="00AC6ECB" w:rsidRPr="00AC6ECB" w:rsidRDefault="00AC6ECB" w:rsidP="00AC6ECB">
            <w:pPr>
              <w:numPr>
                <w:ilvl w:val="0"/>
                <w:numId w:val="6"/>
              </w:numPr>
              <w:spacing w:after="0" w:line="240" w:lineRule="auto"/>
              <w:ind w:left="994"/>
              <w:contextualSpacing/>
              <w:rPr>
                <w:rFonts w:ascii="Times New Roman" w:eastAsia="Calibri" w:hAnsi="Times New Roman"/>
                <w:color w:val="000000" w:themeColor="text1" w:themeShade="80"/>
                <w:kern w:val="24"/>
                <w:sz w:val="24"/>
                <w:szCs w:val="24"/>
                <w:lang w:eastAsia="ru-RU"/>
              </w:rPr>
            </w:pPr>
            <w:r w:rsidRPr="00AC6ECB">
              <w:rPr>
                <w:rFonts w:ascii="Times New Roman" w:eastAsia="Calibri" w:hAnsi="Times New Roman"/>
                <w:color w:val="000000" w:themeColor="text1" w:themeShade="80"/>
                <w:kern w:val="24"/>
                <w:sz w:val="24"/>
                <w:szCs w:val="24"/>
                <w:lang w:eastAsia="ru-RU"/>
              </w:rPr>
              <w:t xml:space="preserve">не позднее 25 декабря 2023 года  </w:t>
            </w:r>
          </w:p>
          <w:p w:rsidR="00AC6ECB" w:rsidRPr="00AC6ECB" w:rsidRDefault="00AC6ECB" w:rsidP="00AC6ECB">
            <w:pPr>
              <w:spacing w:after="120" w:line="240" w:lineRule="auto"/>
              <w:rPr>
                <w:rFonts w:ascii="Times New Roman" w:eastAsia="Calibri" w:hAnsi="Times New Roman"/>
                <w:color w:val="000000" w:themeColor="text1" w:themeShade="80"/>
                <w:kern w:val="24"/>
                <w:sz w:val="24"/>
                <w:szCs w:val="24"/>
                <w:lang w:eastAsia="ru-RU"/>
              </w:rPr>
            </w:pPr>
            <w:r w:rsidRPr="00AC6ECB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     отчетный период 23 ноября–22 декабря 2023</w:t>
            </w:r>
          </w:p>
          <w:p w:rsidR="00AC6ECB" w:rsidRPr="00AC6ECB" w:rsidRDefault="00AC6ECB" w:rsidP="00AC6ECB">
            <w:pPr>
              <w:numPr>
                <w:ilvl w:val="0"/>
                <w:numId w:val="7"/>
              </w:numPr>
              <w:spacing w:after="0" w:line="240" w:lineRule="auto"/>
              <w:ind w:left="994"/>
              <w:contextualSpacing/>
              <w:rPr>
                <w:rFonts w:ascii="Times New Roman" w:eastAsia="Calibri" w:hAnsi="Times New Roman"/>
                <w:color w:val="000000" w:themeColor="text1" w:themeShade="80"/>
                <w:kern w:val="24"/>
                <w:sz w:val="24"/>
                <w:szCs w:val="24"/>
                <w:lang w:eastAsia="ru-RU"/>
              </w:rPr>
            </w:pPr>
            <w:r w:rsidRPr="00AC6ECB">
              <w:rPr>
                <w:rFonts w:ascii="Times New Roman" w:eastAsia="Calibri" w:hAnsi="Times New Roman"/>
                <w:color w:val="000000" w:themeColor="text1" w:themeShade="80"/>
                <w:kern w:val="24"/>
                <w:sz w:val="24"/>
                <w:szCs w:val="24"/>
                <w:lang w:eastAsia="ru-RU"/>
              </w:rPr>
              <w:t>не позднее 29 декабря 2023 года</w:t>
            </w:r>
          </w:p>
          <w:p w:rsidR="00AC6ECB" w:rsidRPr="00AC6ECB" w:rsidRDefault="00AC6ECB" w:rsidP="00AC6ECB">
            <w:pPr>
              <w:spacing w:after="120" w:line="240" w:lineRule="auto"/>
              <w:rPr>
                <w:rFonts w:ascii="Times New Roman" w:eastAsia="Calibri" w:hAnsi="Times New Roman"/>
                <w:color w:val="000000" w:themeColor="text1" w:themeShade="80"/>
                <w:kern w:val="24"/>
                <w:sz w:val="24"/>
                <w:szCs w:val="24"/>
                <w:lang w:eastAsia="ru-RU"/>
              </w:rPr>
            </w:pPr>
            <w:r w:rsidRPr="00AC6ECB">
              <w:rPr>
                <w:rFonts w:ascii="Times New Roman" w:eastAsia="Calibri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     отчетный период 23–31 декабря 2023</w:t>
            </w:r>
          </w:p>
        </w:tc>
      </w:tr>
      <w:tr w:rsidR="00AC6ECB" w:rsidRPr="00AC6ECB" w:rsidTr="00AC6ECB">
        <w:trPr>
          <w:trHeight w:val="2423"/>
        </w:trPr>
        <w:tc>
          <w:tcPr>
            <w:tcW w:w="3851" w:type="dxa"/>
            <w:tcBorders>
              <w:top w:val="single" w:sz="4" w:space="0" w:color="D9D9D9"/>
              <w:left w:val="nil"/>
              <w:bottom w:val="single" w:sz="8" w:space="0" w:color="BFBFBF"/>
              <w:right w:val="nil"/>
            </w:tcBorders>
            <w:shd w:val="clear" w:color="auto" w:fill="auto"/>
            <w:tcMar>
              <w:top w:w="227" w:type="dxa"/>
              <w:left w:w="113" w:type="dxa"/>
              <w:bottom w:w="170" w:type="dxa"/>
              <w:right w:w="144" w:type="dxa"/>
            </w:tcMar>
            <w:hideMark/>
          </w:tcPr>
          <w:p w:rsidR="00AC6ECB" w:rsidRPr="00AC6ECB" w:rsidRDefault="00AC6ECB" w:rsidP="00AC6EC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 w:themeColor="text1" w:themeShade="80"/>
                <w:kern w:val="24"/>
                <w:sz w:val="24"/>
                <w:szCs w:val="24"/>
                <w:lang w:eastAsia="ru-RU"/>
              </w:rPr>
            </w:pPr>
            <w:r w:rsidRPr="00AC6ECB">
              <w:rPr>
                <w:rFonts w:ascii="Times New Roman" w:eastAsia="Calibri" w:hAnsi="Times New Roman"/>
                <w:b/>
                <w:bCs/>
                <w:color w:val="000000" w:themeColor="text1" w:themeShade="80"/>
                <w:kern w:val="24"/>
                <w:sz w:val="24"/>
                <w:szCs w:val="24"/>
                <w:lang w:eastAsia="ru-RU"/>
              </w:rPr>
              <w:lastRenderedPageBreak/>
              <w:t xml:space="preserve">Можно подать уведомление с отрицательными значениями? </w:t>
            </w:r>
          </w:p>
        </w:tc>
        <w:tc>
          <w:tcPr>
            <w:tcW w:w="5569" w:type="dxa"/>
            <w:tcBorders>
              <w:top w:val="single" w:sz="4" w:space="0" w:color="D9D9D9"/>
              <w:left w:val="nil"/>
              <w:bottom w:val="single" w:sz="8" w:space="0" w:color="BFBFBF"/>
              <w:right w:val="nil"/>
            </w:tcBorders>
            <w:shd w:val="clear" w:color="auto" w:fill="auto"/>
            <w:tcMar>
              <w:top w:w="227" w:type="dxa"/>
              <w:left w:w="144" w:type="dxa"/>
              <w:bottom w:w="170" w:type="dxa"/>
              <w:right w:w="144" w:type="dxa"/>
            </w:tcMar>
            <w:hideMark/>
          </w:tcPr>
          <w:p w:rsidR="00AC6ECB" w:rsidRPr="00AC6ECB" w:rsidRDefault="00AC6ECB" w:rsidP="00AC6ECB">
            <w:pPr>
              <w:spacing w:after="120" w:line="240" w:lineRule="auto"/>
              <w:rPr>
                <w:rFonts w:ascii="Times New Roman" w:eastAsia="Calibri" w:hAnsi="Times New Roman"/>
                <w:color w:val="000000" w:themeColor="text1" w:themeShade="80"/>
                <w:kern w:val="24"/>
                <w:sz w:val="24"/>
                <w:szCs w:val="24"/>
                <w:lang w:eastAsia="ru-RU"/>
              </w:rPr>
            </w:pPr>
            <w:r w:rsidRPr="00AC6ECB">
              <w:rPr>
                <w:rFonts w:ascii="Times New Roman" w:eastAsia="Calibri" w:hAnsi="Times New Roman"/>
                <w:color w:val="000000" w:themeColor="text1" w:themeShade="80"/>
                <w:kern w:val="24"/>
                <w:sz w:val="24"/>
                <w:szCs w:val="24"/>
                <w:lang w:eastAsia="ru-RU"/>
              </w:rPr>
              <w:t>Да. Такое уведомление может быть подано по УСН и НДФЛ по доходам от предпринимательской деятельности за полугодие и девять месяцев к их уменьшению.</w:t>
            </w:r>
          </w:p>
        </w:tc>
      </w:tr>
      <w:tr w:rsidR="00AC6ECB" w:rsidRPr="00AC6ECB" w:rsidTr="00AC6ECB">
        <w:trPr>
          <w:trHeight w:val="2423"/>
        </w:trPr>
        <w:tc>
          <w:tcPr>
            <w:tcW w:w="3851" w:type="dxa"/>
            <w:tcBorders>
              <w:top w:val="single" w:sz="4" w:space="0" w:color="D9D9D9"/>
              <w:left w:val="nil"/>
              <w:bottom w:val="single" w:sz="8" w:space="0" w:color="BFBFBF"/>
              <w:right w:val="nil"/>
            </w:tcBorders>
            <w:shd w:val="clear" w:color="auto" w:fill="auto"/>
            <w:tcMar>
              <w:top w:w="227" w:type="dxa"/>
              <w:left w:w="113" w:type="dxa"/>
              <w:bottom w:w="170" w:type="dxa"/>
              <w:right w:w="144" w:type="dxa"/>
            </w:tcMar>
            <w:hideMark/>
          </w:tcPr>
          <w:p w:rsidR="00AC6ECB" w:rsidRPr="00AC6ECB" w:rsidRDefault="00AC6ECB" w:rsidP="00AC6EC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 w:themeColor="text1" w:themeShade="80"/>
                <w:kern w:val="24"/>
                <w:sz w:val="24"/>
                <w:szCs w:val="24"/>
                <w:lang w:eastAsia="ru-RU"/>
              </w:rPr>
            </w:pPr>
            <w:r w:rsidRPr="00AC6ECB">
              <w:rPr>
                <w:rFonts w:ascii="Times New Roman" w:eastAsia="Calibri" w:hAnsi="Times New Roman"/>
                <w:b/>
                <w:bCs/>
                <w:color w:val="000000" w:themeColor="text1" w:themeShade="80"/>
                <w:kern w:val="24"/>
                <w:sz w:val="24"/>
                <w:szCs w:val="24"/>
                <w:lang w:eastAsia="ru-RU"/>
              </w:rPr>
              <w:t xml:space="preserve">Как исправить ошибку в уведомлении? </w:t>
            </w:r>
          </w:p>
        </w:tc>
        <w:tc>
          <w:tcPr>
            <w:tcW w:w="5569" w:type="dxa"/>
            <w:tcBorders>
              <w:top w:val="single" w:sz="4" w:space="0" w:color="D9D9D9"/>
              <w:left w:val="nil"/>
              <w:bottom w:val="single" w:sz="8" w:space="0" w:color="BFBFBF"/>
              <w:right w:val="nil"/>
            </w:tcBorders>
            <w:shd w:val="clear" w:color="auto" w:fill="auto"/>
            <w:tcMar>
              <w:top w:w="227" w:type="dxa"/>
              <w:left w:w="144" w:type="dxa"/>
              <w:bottom w:w="170" w:type="dxa"/>
              <w:right w:w="144" w:type="dxa"/>
            </w:tcMar>
            <w:hideMark/>
          </w:tcPr>
          <w:p w:rsidR="00AC6ECB" w:rsidRPr="00AC6ECB" w:rsidRDefault="00AC6ECB" w:rsidP="00AC6ECB">
            <w:pPr>
              <w:spacing w:after="120" w:line="240" w:lineRule="auto"/>
              <w:rPr>
                <w:rFonts w:ascii="Times New Roman" w:eastAsia="Calibri" w:hAnsi="Times New Roman"/>
                <w:color w:val="000000" w:themeColor="text1" w:themeShade="80"/>
                <w:kern w:val="24"/>
                <w:sz w:val="24"/>
                <w:szCs w:val="24"/>
                <w:lang w:eastAsia="ru-RU"/>
              </w:rPr>
            </w:pPr>
            <w:r w:rsidRPr="00AC6ECB">
              <w:rPr>
                <w:rFonts w:ascii="Times New Roman" w:eastAsia="Calibri" w:hAnsi="Times New Roman"/>
                <w:color w:val="000000" w:themeColor="text1" w:themeShade="80"/>
                <w:kern w:val="24"/>
                <w:sz w:val="24"/>
                <w:szCs w:val="24"/>
                <w:lang w:eastAsia="ru-RU"/>
              </w:rPr>
              <w:t>Подать новое уведомление:</w:t>
            </w:r>
          </w:p>
          <w:p w:rsidR="00AC6ECB" w:rsidRPr="00AC6ECB" w:rsidRDefault="00AC6ECB" w:rsidP="00AC6ECB">
            <w:pPr>
              <w:numPr>
                <w:ilvl w:val="0"/>
                <w:numId w:val="8"/>
              </w:numPr>
              <w:spacing w:after="120" w:line="240" w:lineRule="auto"/>
              <w:ind w:left="994"/>
              <w:contextualSpacing/>
              <w:rPr>
                <w:rFonts w:ascii="Times New Roman" w:eastAsia="Calibri" w:hAnsi="Times New Roman"/>
                <w:color w:val="000000" w:themeColor="text1" w:themeShade="80"/>
                <w:kern w:val="24"/>
                <w:sz w:val="24"/>
                <w:szCs w:val="24"/>
                <w:lang w:eastAsia="ru-RU"/>
              </w:rPr>
            </w:pPr>
            <w:r w:rsidRPr="00AC6ECB">
              <w:rPr>
                <w:rFonts w:ascii="Times New Roman" w:eastAsia="Calibri" w:hAnsi="Times New Roman"/>
                <w:color w:val="000000" w:themeColor="text1" w:themeShade="80"/>
                <w:kern w:val="24"/>
                <w:sz w:val="24"/>
                <w:szCs w:val="24"/>
                <w:lang w:eastAsia="ru-RU"/>
              </w:rPr>
              <w:t xml:space="preserve">«обнулить» старое уведомление (повторить реквизиты, а в сумме указать «0») и подать новое с верными реквизитами. </w:t>
            </w:r>
          </w:p>
          <w:p w:rsidR="00AC6ECB" w:rsidRPr="00AC6ECB" w:rsidRDefault="00AC6ECB" w:rsidP="00AC6ECB">
            <w:pPr>
              <w:numPr>
                <w:ilvl w:val="0"/>
                <w:numId w:val="8"/>
              </w:numPr>
              <w:spacing w:after="120" w:line="240" w:lineRule="auto"/>
              <w:ind w:left="994"/>
              <w:contextualSpacing/>
              <w:rPr>
                <w:rFonts w:ascii="Times New Roman" w:eastAsia="Calibri" w:hAnsi="Times New Roman"/>
                <w:color w:val="000000" w:themeColor="text1" w:themeShade="80"/>
                <w:kern w:val="24"/>
                <w:sz w:val="24"/>
                <w:szCs w:val="24"/>
                <w:lang w:eastAsia="ru-RU"/>
              </w:rPr>
            </w:pPr>
            <w:r w:rsidRPr="00AC6ECB">
              <w:rPr>
                <w:rFonts w:ascii="Times New Roman" w:eastAsia="Calibri" w:hAnsi="Times New Roman"/>
                <w:color w:val="000000" w:themeColor="text1" w:themeShade="80"/>
                <w:kern w:val="24"/>
                <w:sz w:val="24"/>
                <w:szCs w:val="24"/>
                <w:lang w:eastAsia="ru-RU"/>
              </w:rPr>
              <w:t>если ошибка в сумме повторите реквизиты, а в сумме указать верное значение</w:t>
            </w:r>
          </w:p>
        </w:tc>
      </w:tr>
    </w:tbl>
    <w:p w:rsidR="00DB4E1A" w:rsidRDefault="00DB4E1A">
      <w:bookmarkStart w:id="0" w:name="_GoBack"/>
      <w:bookmarkEnd w:id="0"/>
    </w:p>
    <w:sectPr w:rsidR="00DB4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725C0"/>
    <w:multiLevelType w:val="hybridMultilevel"/>
    <w:tmpl w:val="003A141A"/>
    <w:lvl w:ilvl="0" w:tplc="955ED32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46E83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F8EB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DC5E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FC3A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A6DE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B40BE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9CC6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FC59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742A74"/>
    <w:multiLevelType w:val="hybridMultilevel"/>
    <w:tmpl w:val="DA98A24E"/>
    <w:lvl w:ilvl="0" w:tplc="3B72F5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9826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C093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2474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02A3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844D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9A45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02E0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F879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24175B"/>
    <w:multiLevelType w:val="hybridMultilevel"/>
    <w:tmpl w:val="63AC45B8"/>
    <w:lvl w:ilvl="0" w:tplc="F402B7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28FD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E870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7429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2EC9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169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4AF0F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DAE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A499F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C3132"/>
    <w:multiLevelType w:val="hybridMultilevel"/>
    <w:tmpl w:val="EA1A7E0C"/>
    <w:lvl w:ilvl="0" w:tplc="2758A3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1030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E65C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1AB2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C6C0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36DA2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568D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7A4C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16DD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7958D4"/>
    <w:multiLevelType w:val="hybridMultilevel"/>
    <w:tmpl w:val="EF18ED12"/>
    <w:lvl w:ilvl="0" w:tplc="87CCFE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BEE8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58D0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B06C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4E4A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005D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D2B63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2684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60730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C25DE9"/>
    <w:multiLevelType w:val="hybridMultilevel"/>
    <w:tmpl w:val="202A499C"/>
    <w:lvl w:ilvl="0" w:tplc="3A36A0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A654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5C70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673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4E0B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FC44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38CE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92B5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EC04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B164C2"/>
    <w:multiLevelType w:val="hybridMultilevel"/>
    <w:tmpl w:val="50680FD6"/>
    <w:lvl w:ilvl="0" w:tplc="E064EA9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7E4A8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12CC9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C41CC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907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70C2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008E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4621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3C2C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3913B8"/>
    <w:multiLevelType w:val="hybridMultilevel"/>
    <w:tmpl w:val="82463D24"/>
    <w:lvl w:ilvl="0" w:tplc="E69EFD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42713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2C06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ECAC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68BCA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09AB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8C5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427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1E4EC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ECB"/>
    <w:rsid w:val="00AC6ECB"/>
    <w:rsid w:val="00DB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6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C6E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6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C6E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8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00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6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58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279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83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650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282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62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313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99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167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666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7078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9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6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168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50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2023-11-27T05:17:00Z</dcterms:created>
  <dcterms:modified xsi:type="dcterms:W3CDTF">2023-11-27T05:18:00Z</dcterms:modified>
</cp:coreProperties>
</file>